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9A7F" w14:textId="4CD1C63E" w:rsidR="00730924" w:rsidRDefault="00A2727B" w:rsidP="00D83432">
      <w:pPr>
        <w:jc w:val="center"/>
        <w:rPr>
          <w:rFonts w:ascii="Amasis MT Pro" w:hAnsi="Amasis MT Pro"/>
          <w:color w:val="373334"/>
          <w:sz w:val="32"/>
          <w:szCs w:val="32"/>
        </w:rPr>
      </w:pPr>
      <w:r w:rsidRPr="00730924">
        <w:rPr>
          <w:rFonts w:ascii="Amasis MT Pro" w:hAnsi="Amasis MT Pro" w:cs="Open Sans"/>
          <w:noProof/>
          <w:color w:val="373334"/>
          <w:sz w:val="28"/>
          <w:szCs w:val="28"/>
        </w:rPr>
        <w:drawing>
          <wp:anchor distT="0" distB="0" distL="114300" distR="114300" simplePos="0" relativeHeight="251662848" behindDoc="0" locked="0" layoutInCell="1" allowOverlap="1" wp14:anchorId="2B04266B" wp14:editId="472ECACA">
            <wp:simplePos x="0" y="0"/>
            <wp:positionH relativeFrom="column">
              <wp:posOffset>-576262</wp:posOffset>
            </wp:positionH>
            <wp:positionV relativeFrom="paragraph">
              <wp:posOffset>-604837</wp:posOffset>
            </wp:positionV>
            <wp:extent cx="1171575" cy="400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174284" cy="400975"/>
                    </a:xfrm>
                    <a:prstGeom prst="rect">
                      <a:avLst/>
                    </a:prstGeom>
                  </pic:spPr>
                </pic:pic>
              </a:graphicData>
            </a:graphic>
            <wp14:sizeRelH relativeFrom="page">
              <wp14:pctWidth>0</wp14:pctWidth>
            </wp14:sizeRelH>
            <wp14:sizeRelV relativeFrom="page">
              <wp14:pctHeight>0</wp14:pctHeight>
            </wp14:sizeRelV>
          </wp:anchor>
        </w:drawing>
      </w:r>
      <w:r w:rsidR="00D83432" w:rsidRPr="00730924">
        <w:rPr>
          <w:rFonts w:ascii="Amasis MT Pro" w:hAnsi="Amasis MT Pro"/>
          <w:color w:val="373334"/>
          <w:sz w:val="32"/>
          <w:szCs w:val="32"/>
        </w:rPr>
        <w:t xml:space="preserve">EMPLOYEE BENEFITS </w:t>
      </w:r>
      <w:r w:rsidR="00730924" w:rsidRPr="00730924">
        <w:rPr>
          <w:rFonts w:ascii="Amasis MT Pro" w:hAnsi="Amasis MT Pro"/>
          <w:color w:val="373334"/>
          <w:sz w:val="32"/>
          <w:szCs w:val="32"/>
        </w:rPr>
        <w:t xml:space="preserve">DIVISION </w:t>
      </w:r>
    </w:p>
    <w:p w14:paraId="26AF040E" w14:textId="77777777" w:rsidR="001E09A2" w:rsidRPr="00730924" w:rsidRDefault="001E09A2" w:rsidP="00D83432">
      <w:pPr>
        <w:jc w:val="center"/>
        <w:rPr>
          <w:rFonts w:ascii="Amasis MT Pro" w:hAnsi="Amasis MT Pro"/>
          <w:color w:val="373334"/>
          <w:sz w:val="32"/>
          <w:szCs w:val="32"/>
        </w:rPr>
      </w:pPr>
    </w:p>
    <w:p w14:paraId="06F7547C" w14:textId="5C91F8F6" w:rsidR="00D83432" w:rsidRPr="005C74FB" w:rsidRDefault="00730924" w:rsidP="00D83432">
      <w:pPr>
        <w:jc w:val="center"/>
        <w:rPr>
          <w:rFonts w:ascii="Amasis MT Pro" w:hAnsi="Amasis MT Pro"/>
          <w:color w:val="373334"/>
          <w:sz w:val="32"/>
          <w:szCs w:val="32"/>
        </w:rPr>
      </w:pPr>
      <w:r w:rsidRPr="005C74FB">
        <w:rPr>
          <w:rFonts w:ascii="Amasis MT Pro" w:hAnsi="Amasis MT Pro"/>
          <w:color w:val="373334"/>
          <w:sz w:val="32"/>
          <w:szCs w:val="32"/>
        </w:rPr>
        <w:t>Health Care and Benefits Analyst</w:t>
      </w:r>
    </w:p>
    <w:p w14:paraId="5A72A30B" w14:textId="4522DDB1" w:rsidR="00730924" w:rsidRPr="00D83432" w:rsidRDefault="00D83432" w:rsidP="00D83432">
      <w:pPr>
        <w:jc w:val="center"/>
        <w:rPr>
          <w:rFonts w:ascii="Open Sans" w:hAnsi="Open Sans" w:cs="Open Sans"/>
          <w:b/>
          <w:bCs/>
          <w:color w:val="373334"/>
          <w:sz w:val="22"/>
          <w:szCs w:val="22"/>
        </w:rPr>
      </w:pPr>
      <w:r w:rsidRPr="00730924">
        <w:rPr>
          <w:rFonts w:ascii="Source Sans Pro" w:hAnsi="Source Sans Pro" w:cs="Open Sans"/>
          <w:b/>
          <w:bCs/>
          <w:color w:val="373334"/>
          <w:sz w:val="22"/>
          <w:szCs w:val="22"/>
        </w:rPr>
        <w:t>JOB DESCRIPTION</w:t>
      </w:r>
    </w:p>
    <w:p w14:paraId="623F3026" w14:textId="5BDB4BC9" w:rsidR="0097220D" w:rsidRPr="00EA0CB4" w:rsidRDefault="0097220D" w:rsidP="00D83432">
      <w:pPr>
        <w:jc w:val="center"/>
        <w:rPr>
          <w:rFonts w:ascii="Rockwell" w:hAnsi="Rockwell"/>
          <w:color w:val="373334"/>
        </w:rPr>
      </w:pPr>
      <w:r w:rsidRPr="00EA0CB4">
        <w:rPr>
          <w:rFonts w:ascii="Rockwell" w:hAnsi="Rockwell"/>
          <w:noProof/>
          <w:color w:val="373334"/>
        </w:rPr>
        <mc:AlternateContent>
          <mc:Choice Requires="wps">
            <w:drawing>
              <wp:anchor distT="0" distB="0" distL="114300" distR="114300" simplePos="0" relativeHeight="251660800" behindDoc="0" locked="0" layoutInCell="1" allowOverlap="1" wp14:anchorId="6D3776A9" wp14:editId="120D53EB">
                <wp:simplePos x="0" y="0"/>
                <wp:positionH relativeFrom="column">
                  <wp:posOffset>1228563</wp:posOffset>
                </wp:positionH>
                <wp:positionV relativeFrom="paragraph">
                  <wp:posOffset>134620</wp:posOffset>
                </wp:positionV>
                <wp:extent cx="3455581" cy="2067"/>
                <wp:effectExtent l="0" t="19050" r="31115" b="36195"/>
                <wp:wrapNone/>
                <wp:docPr id="2" name="Straight Connector 2"/>
                <wp:cNvGraphicFramePr/>
                <a:graphic xmlns:a="http://schemas.openxmlformats.org/drawingml/2006/main">
                  <a:graphicData uri="http://schemas.microsoft.com/office/word/2010/wordprocessingShape">
                    <wps:wsp>
                      <wps:cNvCnPr/>
                      <wps:spPr>
                        <a:xfrm flipV="1">
                          <a:off x="0" y="0"/>
                          <a:ext cx="3455581" cy="2067"/>
                        </a:xfrm>
                        <a:prstGeom prst="line">
                          <a:avLst/>
                        </a:prstGeom>
                        <a:ln w="28575">
                          <a:solidFill>
                            <a:srgbClr val="FBC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C1A52" id="Straight Connector 2"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75pt,10.6pt" to="368.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" strokecolor="#fbc200" strokeweight="2.25pt">
                <v:stroke joinstyle="miter"/>
              </v:line>
            </w:pict>
          </mc:Fallback>
        </mc:AlternateContent>
      </w:r>
    </w:p>
    <w:p w14:paraId="0F0421D4" w14:textId="77777777" w:rsidR="00740AC1" w:rsidRPr="00D52F81" w:rsidRDefault="00740AC1" w:rsidP="004A709D">
      <w:pPr>
        <w:rPr>
          <w:rFonts w:ascii="Open Sans" w:hAnsi="Open Sans" w:cs="Open Sans"/>
          <w:bCs/>
          <w:color w:val="373334"/>
          <w:sz w:val="22"/>
          <w:szCs w:val="22"/>
        </w:rPr>
      </w:pPr>
    </w:p>
    <w:p w14:paraId="52F069D5" w14:textId="77777777" w:rsidR="00730924" w:rsidRPr="005043B2" w:rsidRDefault="00730924" w:rsidP="00730924">
      <w:pPr>
        <w:rPr>
          <w:rFonts w:ascii="Source Sans Pro" w:hAnsi="Source Sans Pro" w:cs="Open Sans"/>
          <w:bCs/>
          <w:color w:val="373334"/>
          <w:sz w:val="22"/>
          <w:szCs w:val="22"/>
        </w:rPr>
      </w:pPr>
      <w:r w:rsidRPr="005043B2">
        <w:rPr>
          <w:rFonts w:ascii="Source Sans Pro" w:hAnsi="Source Sans Pro" w:cs="Open Sans"/>
          <w:bCs/>
          <w:color w:val="373334"/>
          <w:sz w:val="22"/>
          <w:szCs w:val="22"/>
        </w:rPr>
        <w:t xml:space="preserve">The </w:t>
      </w:r>
      <w:r w:rsidRPr="005043B2">
        <w:rPr>
          <w:rFonts w:ascii="Source Sans Pro" w:hAnsi="Source Sans Pro" w:cs="Open Sans"/>
          <w:b/>
          <w:i/>
          <w:iCs/>
          <w:color w:val="373334"/>
          <w:sz w:val="22"/>
          <w:szCs w:val="22"/>
        </w:rPr>
        <w:t>Health Care and Benefits Analyst</w:t>
      </w:r>
      <w:r w:rsidRPr="005043B2">
        <w:rPr>
          <w:rFonts w:ascii="Source Sans Pro" w:hAnsi="Source Sans Pro" w:cs="Open Sans"/>
          <w:bCs/>
          <w:color w:val="373334"/>
          <w:sz w:val="22"/>
          <w:szCs w:val="22"/>
        </w:rPr>
        <w:t xml:space="preserve"> supports the client management team in evaluating the financial, clinical, and operational performance of employee benefit accounts.</w:t>
      </w:r>
    </w:p>
    <w:p w14:paraId="6C18F0CF" w14:textId="77777777" w:rsidR="00730924" w:rsidRPr="005043B2" w:rsidRDefault="00730924" w:rsidP="00730924">
      <w:pPr>
        <w:rPr>
          <w:rFonts w:ascii="Source Sans Pro" w:hAnsi="Source Sans Pro" w:cs="Open Sans"/>
          <w:bCs/>
          <w:color w:val="373334"/>
          <w:sz w:val="22"/>
          <w:szCs w:val="22"/>
        </w:rPr>
      </w:pPr>
    </w:p>
    <w:p w14:paraId="13DB2CA3" w14:textId="77777777" w:rsidR="00730924" w:rsidRPr="005043B2" w:rsidRDefault="00730924" w:rsidP="00730924">
      <w:pPr>
        <w:rPr>
          <w:rFonts w:ascii="Source Sans Pro" w:hAnsi="Source Sans Pro" w:cs="Open Sans"/>
          <w:bCs/>
          <w:color w:val="373334"/>
          <w:sz w:val="22"/>
          <w:szCs w:val="22"/>
        </w:rPr>
      </w:pPr>
      <w:r w:rsidRPr="005043B2">
        <w:rPr>
          <w:rFonts w:ascii="Source Sans Pro" w:hAnsi="Source Sans Pro" w:cs="Open Sans"/>
          <w:bCs/>
          <w:color w:val="373334"/>
          <w:sz w:val="22"/>
          <w:szCs w:val="22"/>
        </w:rPr>
        <w:t xml:space="preserve">The </w:t>
      </w:r>
      <w:r w:rsidRPr="005043B2">
        <w:rPr>
          <w:rFonts w:ascii="Source Sans Pro" w:hAnsi="Source Sans Pro" w:cs="Open Sans"/>
          <w:b/>
          <w:i/>
          <w:iCs/>
          <w:color w:val="373334"/>
          <w:sz w:val="22"/>
          <w:szCs w:val="22"/>
        </w:rPr>
        <w:t>Health Care and Benefits Analyst</w:t>
      </w:r>
      <w:r w:rsidRPr="005043B2">
        <w:rPr>
          <w:rFonts w:ascii="Source Sans Pro" w:hAnsi="Source Sans Pro" w:cs="Open Sans"/>
          <w:bCs/>
          <w:color w:val="373334"/>
          <w:sz w:val="22"/>
          <w:szCs w:val="22"/>
        </w:rPr>
        <w:t xml:space="preserve"> serves a key role in helping the client team identify trends, draw insight, and create presentations and reports for varied audiences, including the senior management of clients.</w:t>
      </w:r>
    </w:p>
    <w:p w14:paraId="5A4C315F" w14:textId="77777777" w:rsidR="00730924" w:rsidRPr="005043B2" w:rsidRDefault="00730924" w:rsidP="00730924">
      <w:pPr>
        <w:rPr>
          <w:rFonts w:ascii="Source Sans Pro" w:hAnsi="Source Sans Pro" w:cs="Open Sans"/>
          <w:bCs/>
          <w:color w:val="373334"/>
          <w:sz w:val="22"/>
          <w:szCs w:val="22"/>
        </w:rPr>
      </w:pPr>
    </w:p>
    <w:p w14:paraId="74813052" w14:textId="2DBEEAAC" w:rsidR="0090010D" w:rsidRPr="005043B2" w:rsidRDefault="00730924" w:rsidP="00730924">
      <w:pPr>
        <w:rPr>
          <w:rFonts w:ascii="Source Sans Pro" w:hAnsi="Source Sans Pro" w:cs="Open Sans"/>
          <w:bCs/>
          <w:color w:val="373334"/>
          <w:sz w:val="22"/>
          <w:szCs w:val="22"/>
        </w:rPr>
      </w:pPr>
      <w:r w:rsidRPr="005043B2">
        <w:rPr>
          <w:rFonts w:ascii="Source Sans Pro" w:hAnsi="Source Sans Pro" w:cs="Open Sans"/>
          <w:bCs/>
          <w:color w:val="373334"/>
          <w:sz w:val="22"/>
          <w:szCs w:val="22"/>
        </w:rPr>
        <w:t xml:space="preserve">Successful candidates will typically hold a bachelor’s degree in accounting, finance, statistics, math, or related fields.  In addition, they will have two to three years of experience in employee benefits insurance, health care administration, or financial services in general.   </w:t>
      </w:r>
    </w:p>
    <w:p w14:paraId="103D8B06" w14:textId="77777777" w:rsidR="00730924" w:rsidRPr="005043B2" w:rsidRDefault="00730924" w:rsidP="00730924">
      <w:pPr>
        <w:rPr>
          <w:rFonts w:ascii="Source Sans Pro" w:hAnsi="Source Sans Pro" w:cs="Open Sans"/>
          <w:bCs/>
          <w:color w:val="373334"/>
          <w:sz w:val="22"/>
          <w:szCs w:val="22"/>
        </w:rPr>
      </w:pPr>
    </w:p>
    <w:p w14:paraId="4CDC46CA" w14:textId="77777777" w:rsidR="00D163CD" w:rsidRPr="005043B2" w:rsidRDefault="00D52F81"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REPORTS TO</w:t>
      </w:r>
      <w:r w:rsidR="00D163CD" w:rsidRPr="005043B2">
        <w:rPr>
          <w:rFonts w:ascii="Source Sans Pro" w:hAnsi="Source Sans Pro" w:cs="Open Sans"/>
          <w:b/>
          <w:color w:val="373334"/>
          <w:sz w:val="22"/>
          <w:szCs w:val="22"/>
        </w:rPr>
        <w:t xml:space="preserve"> </w:t>
      </w:r>
    </w:p>
    <w:p w14:paraId="346AC939" w14:textId="7FB06462" w:rsidR="009762DF" w:rsidRPr="005043B2" w:rsidRDefault="00D52F81"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Practice Leader</w:t>
      </w:r>
    </w:p>
    <w:p w14:paraId="0A087092" w14:textId="77777777" w:rsidR="00740AC1" w:rsidRPr="005043B2" w:rsidRDefault="00740AC1" w:rsidP="00BB7B32">
      <w:pPr>
        <w:rPr>
          <w:rFonts w:ascii="Source Sans Pro" w:hAnsi="Source Sans Pro" w:cs="Open Sans"/>
          <w:bCs/>
          <w:color w:val="373334"/>
          <w:sz w:val="22"/>
          <w:szCs w:val="22"/>
        </w:rPr>
      </w:pPr>
    </w:p>
    <w:p w14:paraId="65814DEF" w14:textId="155625A9" w:rsidR="00DC5D03" w:rsidRPr="005043B2" w:rsidRDefault="00730924" w:rsidP="003409E4">
      <w:pPr>
        <w:rPr>
          <w:rFonts w:ascii="Source Sans Pro" w:hAnsi="Source Sans Pro" w:cs="Open Sans"/>
          <w:b/>
          <w:color w:val="373334"/>
          <w:sz w:val="22"/>
          <w:szCs w:val="22"/>
        </w:rPr>
      </w:pPr>
      <w:r w:rsidRPr="005043B2">
        <w:rPr>
          <w:rFonts w:ascii="Source Sans Pro" w:hAnsi="Source Sans Pro" w:cs="Open Sans"/>
          <w:b/>
          <w:color w:val="373334"/>
          <w:sz w:val="22"/>
          <w:szCs w:val="22"/>
        </w:rPr>
        <w:t>CORE COMPETENCIES</w:t>
      </w:r>
    </w:p>
    <w:p w14:paraId="363D2F00"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 xml:space="preserve">Aptitude in math and basic statistics </w:t>
      </w:r>
    </w:p>
    <w:p w14:paraId="6440F05C"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Good communication skills – written, and verbal</w:t>
      </w:r>
    </w:p>
    <w:p w14:paraId="2A51DFB3"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Data visualization ability and interest</w:t>
      </w:r>
    </w:p>
    <w:p w14:paraId="21FFAD8C"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Proficiency in Microsoft Excel (advanced)</w:t>
      </w:r>
    </w:p>
    <w:p w14:paraId="68B18D54"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Employee benefit program knowledge: products, funding methods, contract features, design strategies, interest in learning the basics of health care regulations</w:t>
      </w:r>
    </w:p>
    <w:p w14:paraId="7E87B591"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Ability to work well in a team environment focused on delivering an A+ client experience</w:t>
      </w:r>
    </w:p>
    <w:p w14:paraId="4AFF6C05" w14:textId="374D64A7" w:rsidR="00022C91"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A commitment to accuracy and peer review</w:t>
      </w:r>
    </w:p>
    <w:p w14:paraId="3A2097F5" w14:textId="77777777" w:rsidR="00730924" w:rsidRPr="005043B2" w:rsidRDefault="00730924" w:rsidP="00BB7B32">
      <w:pPr>
        <w:rPr>
          <w:rFonts w:ascii="Source Sans Pro" w:hAnsi="Source Sans Pro" w:cs="Open Sans"/>
          <w:b/>
          <w:color w:val="373334"/>
          <w:sz w:val="22"/>
          <w:szCs w:val="22"/>
        </w:rPr>
      </w:pPr>
    </w:p>
    <w:p w14:paraId="4AD1C68D" w14:textId="33B181BB" w:rsidR="00DC5D03" w:rsidRPr="005043B2" w:rsidRDefault="00730924"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 xml:space="preserve">JOB </w:t>
      </w:r>
      <w:r w:rsidR="00EE7530" w:rsidRPr="005043B2">
        <w:rPr>
          <w:rFonts w:ascii="Source Sans Pro" w:hAnsi="Source Sans Pro" w:cs="Open Sans"/>
          <w:b/>
          <w:color w:val="373334"/>
          <w:sz w:val="22"/>
          <w:szCs w:val="22"/>
        </w:rPr>
        <w:t>REQUIREMENTS</w:t>
      </w:r>
    </w:p>
    <w:p w14:paraId="3C79DDDD"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Proactively provide periodic financial and clinical reporting for self-funded and “experience rated” health plans, keeping the client team informed of developments impacting financial results.</w:t>
      </w:r>
    </w:p>
    <w:p w14:paraId="2A41300B"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 xml:space="preserve">Adhere to assigned timelines as identified in the client work plan. Provide fellow team members with project milestone updates.      </w:t>
      </w:r>
    </w:p>
    <w:p w14:paraId="21DCD7C9"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Perform analytical projects that could include:</w:t>
      </w:r>
    </w:p>
    <w:p w14:paraId="304EFFEE" w14:textId="77777777" w:rsidR="00730924" w:rsidRPr="005043B2" w:rsidRDefault="00730924" w:rsidP="00730924">
      <w:pPr>
        <w:pStyle w:val="ListParagraph"/>
        <w:numPr>
          <w:ilvl w:val="1"/>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Stop loss insurance and risk analysis</w:t>
      </w:r>
    </w:p>
    <w:p w14:paraId="61BD12FE" w14:textId="77777777" w:rsidR="00730924" w:rsidRPr="005043B2" w:rsidRDefault="00730924" w:rsidP="00730924">
      <w:pPr>
        <w:pStyle w:val="ListParagraph"/>
        <w:numPr>
          <w:ilvl w:val="1"/>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IBNR (claim reserve) calculations</w:t>
      </w:r>
    </w:p>
    <w:p w14:paraId="2D8E89B1" w14:textId="77777777" w:rsidR="00730924" w:rsidRPr="005043B2" w:rsidRDefault="00730924" w:rsidP="00730924">
      <w:pPr>
        <w:pStyle w:val="ListParagraph"/>
        <w:numPr>
          <w:ilvl w:val="1"/>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Cost impacts of plan design changes</w:t>
      </w:r>
    </w:p>
    <w:p w14:paraId="504528F6" w14:textId="77777777" w:rsidR="00730924" w:rsidRPr="005043B2" w:rsidRDefault="00730924" w:rsidP="00730924">
      <w:pPr>
        <w:pStyle w:val="ListParagraph"/>
        <w:numPr>
          <w:ilvl w:val="1"/>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Employee benefit plan budgeting</w:t>
      </w:r>
    </w:p>
    <w:p w14:paraId="08414128" w14:textId="77777777" w:rsidR="00730924" w:rsidRPr="005043B2" w:rsidRDefault="00730924" w:rsidP="00730924">
      <w:pPr>
        <w:pStyle w:val="ListParagraph"/>
        <w:numPr>
          <w:ilvl w:val="1"/>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Plan contribution modeling</w:t>
      </w:r>
    </w:p>
    <w:p w14:paraId="4A6D6290" w14:textId="77777777" w:rsidR="00730924" w:rsidRPr="005043B2" w:rsidRDefault="00730924" w:rsidP="00730924">
      <w:pPr>
        <w:pStyle w:val="ListParagraph"/>
        <w:numPr>
          <w:ilvl w:val="1"/>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Provider network analysis</w:t>
      </w:r>
    </w:p>
    <w:p w14:paraId="634404E8"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Prepare client presentations that include:</w:t>
      </w:r>
    </w:p>
    <w:p w14:paraId="437D1B90" w14:textId="77777777" w:rsidR="00730924" w:rsidRPr="005043B2" w:rsidRDefault="00730924" w:rsidP="00730924">
      <w:pPr>
        <w:pStyle w:val="ListParagraph"/>
        <w:numPr>
          <w:ilvl w:val="1"/>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Annual Stewardship reports</w:t>
      </w:r>
    </w:p>
    <w:p w14:paraId="319730A4" w14:textId="77777777" w:rsidR="00730924" w:rsidRPr="005043B2" w:rsidRDefault="00730924" w:rsidP="00730924">
      <w:pPr>
        <w:pStyle w:val="ListParagraph"/>
        <w:numPr>
          <w:ilvl w:val="1"/>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lastRenderedPageBreak/>
        <w:t>Employee benefit renewals</w:t>
      </w:r>
    </w:p>
    <w:p w14:paraId="1031C871"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Assist the client team in the presentation and delivery of reports as needed.</w:t>
      </w:r>
    </w:p>
    <w:p w14:paraId="60E347C1" w14:textId="77777777" w:rsidR="00730924" w:rsidRPr="005043B2" w:rsidRDefault="00730924" w:rsidP="00730924">
      <w:pPr>
        <w:pStyle w:val="ListParagraph"/>
        <w:numPr>
          <w:ilvl w:val="0"/>
          <w:numId w:val="16"/>
        </w:numPr>
        <w:spacing w:after="0" w:line="240" w:lineRule="auto"/>
        <w:rPr>
          <w:rFonts w:ascii="Source Sans Pro" w:hAnsi="Source Sans Pro" w:cs="Open Sans"/>
          <w:bCs/>
          <w:color w:val="373334"/>
        </w:rPr>
      </w:pPr>
      <w:r w:rsidRPr="005043B2">
        <w:rPr>
          <w:rFonts w:ascii="Source Sans Pro" w:hAnsi="Source Sans Pro" w:cs="Open Sans"/>
          <w:bCs/>
          <w:color w:val="373334"/>
        </w:rPr>
        <w:t>Prepare and submit coverage Request for Proposals (RFP’s) – medical and prescription drug plans.</w:t>
      </w:r>
    </w:p>
    <w:p w14:paraId="78199DE3" w14:textId="77777777" w:rsidR="00BB7B32" w:rsidRPr="005043B2" w:rsidRDefault="00BB7B32" w:rsidP="00BB7B32">
      <w:pPr>
        <w:pStyle w:val="ListParagraph"/>
        <w:spacing w:after="0" w:line="240" w:lineRule="auto"/>
        <w:rPr>
          <w:rFonts w:ascii="Source Sans Pro" w:hAnsi="Source Sans Pro" w:cs="Open Sans"/>
          <w:bCs/>
          <w:color w:val="373334"/>
        </w:rPr>
      </w:pPr>
    </w:p>
    <w:p w14:paraId="6B1BEEFF" w14:textId="69D7FBB6" w:rsidR="00DC5D03" w:rsidRPr="005043B2" w:rsidRDefault="00EE7530"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SUPERVISORY RESPONSIBILITY</w:t>
      </w:r>
    </w:p>
    <w:p w14:paraId="29AC8F3E" w14:textId="77777777" w:rsidR="00DC5D03" w:rsidRPr="005043B2"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None</w:t>
      </w:r>
    </w:p>
    <w:p w14:paraId="5C0018DC" w14:textId="77777777" w:rsidR="00DC5D03" w:rsidRPr="005043B2" w:rsidRDefault="00DC5D03" w:rsidP="00BB7B32">
      <w:pPr>
        <w:rPr>
          <w:rFonts w:ascii="Source Sans Pro" w:hAnsi="Source Sans Pro" w:cs="Open Sans"/>
          <w:bCs/>
          <w:color w:val="373334"/>
          <w:sz w:val="22"/>
          <w:szCs w:val="22"/>
          <w:highlight w:val="yellow"/>
        </w:rPr>
      </w:pPr>
    </w:p>
    <w:p w14:paraId="0AC699E0" w14:textId="7CEA789C" w:rsidR="00DC5D03" w:rsidRPr="005043B2" w:rsidRDefault="00EE7530"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WORK ENVIRONMENT</w:t>
      </w:r>
    </w:p>
    <w:p w14:paraId="0009D3B6" w14:textId="77777777" w:rsidR="00DC5D03" w:rsidRPr="005043B2"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This job operates in a professional office environment. This role routinely uses standard office equipment such as computers, phones, cell phones, photocopiers, filing cabinets and fax machines.</w:t>
      </w:r>
    </w:p>
    <w:p w14:paraId="140B9C7A" w14:textId="77777777" w:rsidR="00DC5D03" w:rsidRPr="005043B2" w:rsidRDefault="00DC5D03" w:rsidP="00BB7B32">
      <w:pPr>
        <w:rPr>
          <w:rFonts w:ascii="Source Sans Pro" w:hAnsi="Source Sans Pro" w:cs="Open Sans"/>
          <w:bCs/>
          <w:color w:val="373334"/>
          <w:sz w:val="22"/>
          <w:szCs w:val="22"/>
        </w:rPr>
      </w:pPr>
    </w:p>
    <w:p w14:paraId="1C7EA002" w14:textId="2E833199" w:rsidR="00DC5D03" w:rsidRPr="005043B2" w:rsidRDefault="00EE7530"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PHYSICAL DEMANDS</w:t>
      </w:r>
    </w:p>
    <w:p w14:paraId="40CD29E3" w14:textId="77777777" w:rsidR="00DC5D03" w:rsidRPr="005043B2"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The physical demands described here are representative of those that must be met by an employee to successfully perform the essential functions of this job.</w:t>
      </w:r>
    </w:p>
    <w:p w14:paraId="19CCC3D5" w14:textId="77777777" w:rsidR="00DC5D03" w:rsidRPr="005043B2" w:rsidRDefault="00DC5D03" w:rsidP="00BB7B32">
      <w:pPr>
        <w:rPr>
          <w:rFonts w:ascii="Source Sans Pro" w:hAnsi="Source Sans Pro" w:cs="Open Sans"/>
          <w:bCs/>
          <w:color w:val="373334"/>
          <w:sz w:val="22"/>
          <w:szCs w:val="22"/>
        </w:rPr>
      </w:pPr>
    </w:p>
    <w:p w14:paraId="5F81781A" w14:textId="77777777" w:rsidR="00DC5D03" w:rsidRPr="005043B2"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While performing the duties of this job, the employee is occasionally required to stand; walk; sit; use hands to finger, handle, or feel objects, tools or controls; reach with hands and arms; climb stairs; balance; stoop, kneel, crouch or crawl; talk or hear; and taste or smell. The employee must occasionally lift or move up to 25 pounds. Specific vision abilities required by the job include close vision, distance vision, color vision, peripheral vision, depth perception and the ability to adjust focus.</w:t>
      </w:r>
    </w:p>
    <w:p w14:paraId="04E9605B" w14:textId="77777777" w:rsidR="00DC5D03" w:rsidRPr="005043B2" w:rsidRDefault="00DC5D03" w:rsidP="00BB7B32">
      <w:pPr>
        <w:rPr>
          <w:rFonts w:ascii="Source Sans Pro" w:hAnsi="Source Sans Pro" w:cs="Open Sans"/>
          <w:b/>
          <w:color w:val="373334"/>
          <w:sz w:val="22"/>
          <w:szCs w:val="22"/>
        </w:rPr>
      </w:pPr>
    </w:p>
    <w:p w14:paraId="08222D8C" w14:textId="386D6689" w:rsidR="00DC5D03" w:rsidRPr="005043B2" w:rsidRDefault="00D52F81" w:rsidP="00BB7B32">
      <w:pPr>
        <w:rPr>
          <w:rFonts w:ascii="Source Sans Pro" w:hAnsi="Source Sans Pro" w:cs="Open Sans"/>
          <w:b/>
          <w:color w:val="373334"/>
          <w:sz w:val="22"/>
          <w:szCs w:val="22"/>
        </w:rPr>
      </w:pPr>
      <w:r w:rsidRPr="005043B2">
        <w:rPr>
          <w:rFonts w:ascii="Source Sans Pro" w:hAnsi="Source Sans Pro" w:cs="Open Sans"/>
          <w:b/>
          <w:color w:val="373334"/>
          <w:sz w:val="22"/>
          <w:szCs w:val="22"/>
        </w:rPr>
        <w:t>POSITION TYPE/EXPECTED HOURS OF WORK</w:t>
      </w:r>
    </w:p>
    <w:p w14:paraId="3FB02915" w14:textId="17815DFA" w:rsidR="00122B46" w:rsidRDefault="00DC5D03" w:rsidP="00BB7B32">
      <w:pPr>
        <w:rPr>
          <w:rFonts w:ascii="Source Sans Pro" w:hAnsi="Source Sans Pro" w:cs="Open Sans"/>
          <w:bCs/>
          <w:color w:val="373334"/>
          <w:sz w:val="22"/>
          <w:szCs w:val="22"/>
        </w:rPr>
      </w:pPr>
      <w:r w:rsidRPr="005043B2">
        <w:rPr>
          <w:rFonts w:ascii="Source Sans Pro" w:hAnsi="Source Sans Pro" w:cs="Open Sans"/>
          <w:bCs/>
          <w:color w:val="373334"/>
          <w:sz w:val="22"/>
          <w:szCs w:val="22"/>
        </w:rPr>
        <w:t xml:space="preserve">Full Time Position – </w:t>
      </w:r>
      <w:r w:rsidR="00D52F81" w:rsidRPr="005043B2">
        <w:rPr>
          <w:rFonts w:ascii="Source Sans Pro" w:hAnsi="Source Sans Pro" w:cs="Open Sans"/>
          <w:bCs/>
          <w:color w:val="373334"/>
          <w:sz w:val="22"/>
          <w:szCs w:val="22"/>
        </w:rPr>
        <w:t>40-hour</w:t>
      </w:r>
      <w:r w:rsidRPr="005043B2">
        <w:rPr>
          <w:rFonts w:ascii="Source Sans Pro" w:hAnsi="Source Sans Pro" w:cs="Open Sans"/>
          <w:bCs/>
          <w:color w:val="373334"/>
          <w:sz w:val="22"/>
          <w:szCs w:val="22"/>
        </w:rPr>
        <w:t xml:space="preserve"> work week</w:t>
      </w:r>
    </w:p>
    <w:p w14:paraId="44AFF9B4" w14:textId="77777777" w:rsidR="009038A3" w:rsidRDefault="009038A3" w:rsidP="00BB7B32">
      <w:pPr>
        <w:rPr>
          <w:rFonts w:ascii="Source Sans Pro" w:hAnsi="Source Sans Pro" w:cs="Open Sans"/>
          <w:bCs/>
          <w:color w:val="373334"/>
          <w:sz w:val="22"/>
          <w:szCs w:val="22"/>
        </w:rPr>
      </w:pPr>
    </w:p>
    <w:p w14:paraId="7F273066" w14:textId="77777777" w:rsidR="009038A3" w:rsidRDefault="009038A3" w:rsidP="00BB7B32">
      <w:pPr>
        <w:rPr>
          <w:rFonts w:ascii="Source Sans Pro" w:hAnsi="Source Sans Pro" w:cs="Open Sans"/>
          <w:bCs/>
          <w:color w:val="373334"/>
          <w:sz w:val="22"/>
          <w:szCs w:val="22"/>
        </w:rPr>
      </w:pPr>
    </w:p>
    <w:p w14:paraId="3AB34927" w14:textId="77777777" w:rsidR="009038A3" w:rsidRDefault="009038A3" w:rsidP="009038A3">
      <w:pPr>
        <w:rPr>
          <w:rFonts w:ascii="Source Sans Pro" w:hAnsi="Source Sans Pro" w:cs="Open Sans"/>
          <w:bCs/>
          <w:color w:val="373334"/>
          <w:sz w:val="22"/>
          <w:szCs w:val="22"/>
        </w:rPr>
      </w:pPr>
    </w:p>
    <w:p w14:paraId="0B0A2CD2" w14:textId="77777777" w:rsidR="009038A3" w:rsidRDefault="009038A3" w:rsidP="009038A3">
      <w:r>
        <w:rPr>
          <w:rFonts w:ascii="Source Sans Pro" w:hAnsi="Source Sans Pro" w:cs="Open Sans"/>
          <w:b/>
          <w:color w:val="373334"/>
          <w:sz w:val="22"/>
          <w:szCs w:val="22"/>
        </w:rPr>
        <w:t xml:space="preserve">CONTACT US </w:t>
      </w:r>
      <w:r>
        <w:rPr>
          <w:rFonts w:ascii="Source Sans Pro" w:hAnsi="Source Sans Pro" w:cs="Open Sans"/>
          <w:bCs/>
          <w:color w:val="373334"/>
          <w:sz w:val="22"/>
          <w:szCs w:val="22"/>
        </w:rPr>
        <w:t>on</w:t>
      </w:r>
      <w:r>
        <w:t xml:space="preserve"> our careers page: </w:t>
      </w:r>
      <w:hyperlink r:id="rId8" w:history="1">
        <w:r>
          <w:rPr>
            <w:rStyle w:val="Hyperlink"/>
          </w:rPr>
          <w:t>The Fedeli Group Careers | Fedeli Group</w:t>
        </w:r>
      </w:hyperlink>
    </w:p>
    <w:p w14:paraId="20662AFD" w14:textId="77777777" w:rsidR="009038A3" w:rsidRDefault="009038A3" w:rsidP="009038A3">
      <w:r>
        <w:t xml:space="preserve">Or email us at </w:t>
      </w:r>
      <w:hyperlink r:id="rId9" w:history="1">
        <w:r>
          <w:rPr>
            <w:rStyle w:val="Hyperlink"/>
          </w:rPr>
          <w:t>greatjobs@thefedeligroup.com</w:t>
        </w:r>
      </w:hyperlink>
    </w:p>
    <w:p w14:paraId="0A8BF651" w14:textId="77777777" w:rsidR="009038A3" w:rsidRDefault="009038A3" w:rsidP="009038A3"/>
    <w:p w14:paraId="3B50EBC2" w14:textId="77777777" w:rsidR="009038A3" w:rsidRPr="005043B2" w:rsidRDefault="009038A3" w:rsidP="00BB7B32">
      <w:pPr>
        <w:rPr>
          <w:rFonts w:ascii="Source Sans Pro" w:hAnsi="Source Sans Pro" w:cs="Open Sans"/>
          <w:bCs/>
          <w:color w:val="373334"/>
          <w:sz w:val="22"/>
          <w:szCs w:val="22"/>
        </w:rPr>
      </w:pPr>
    </w:p>
    <w:sectPr w:rsidR="009038A3" w:rsidRPr="005043B2" w:rsidSect="000A72F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A76D" w14:textId="77777777" w:rsidR="00511298" w:rsidRDefault="00511298" w:rsidP="0097220D">
      <w:r>
        <w:separator/>
      </w:r>
    </w:p>
  </w:endnote>
  <w:endnote w:type="continuationSeparator" w:id="0">
    <w:p w14:paraId="6082FC10" w14:textId="77777777" w:rsidR="00511298" w:rsidRDefault="00511298" w:rsidP="0097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w:altName w:val="Cambria"/>
    <w:charset w:val="00"/>
    <w:family w:val="roman"/>
    <w:pitch w:val="variable"/>
    <w:sig w:usb0="A00000AF" w:usb1="4000205B" w:usb2="00000000" w:usb3="00000000" w:csb0="00000093" w:csb1="00000000"/>
  </w:font>
  <w:font w:name="Open Sans">
    <w:altName w:val="Open Sans"/>
    <w:panose1 w:val="020B0606030504020204"/>
    <w:charset w:val="00"/>
    <w:family w:val="swiss"/>
    <w:pitch w:val="variable"/>
    <w:sig w:usb0="E00002EF" w:usb1="4000205B" w:usb2="00000028" w:usb3="00000000" w:csb0="0000019F" w:csb1="00000000"/>
  </w:font>
  <w:font w:name="Source Sans Pro">
    <w:altName w:val="Arial"/>
    <w:charset w:val="00"/>
    <w:family w:val="swiss"/>
    <w:pitch w:val="variable"/>
    <w:sig w:usb0="600002F7" w:usb1="02000001" w:usb2="00000000" w:usb3="00000000" w:csb0="0000019F" w:csb1="00000000"/>
  </w:font>
  <w:font w:name="Rockwell">
    <w:altName w:val="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882102"/>
      <w:docPartObj>
        <w:docPartGallery w:val="Page Numbers (Bottom of Page)"/>
        <w:docPartUnique/>
      </w:docPartObj>
    </w:sdtPr>
    <w:sdtEndPr>
      <w:rPr>
        <w:rStyle w:val="PageNumber"/>
      </w:rPr>
    </w:sdtEndPr>
    <w:sdtContent>
      <w:p w14:paraId="12842B50" w14:textId="77777777" w:rsidR="00A2727B" w:rsidRDefault="00A2727B" w:rsidP="00E13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E4798" w14:textId="77777777" w:rsidR="00A2727B" w:rsidRDefault="00A2727B" w:rsidP="00A27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ource Sans Pro" w:hAnsi="Source Sans Pro" w:cs="Open Sans"/>
        <w:color w:val="373334"/>
        <w:sz w:val="22"/>
        <w:szCs w:val="22"/>
      </w:rPr>
      <w:id w:val="1855464559"/>
      <w:docPartObj>
        <w:docPartGallery w:val="Page Numbers (Bottom of Page)"/>
        <w:docPartUnique/>
      </w:docPartObj>
    </w:sdtPr>
    <w:sdtEndPr>
      <w:rPr>
        <w:rStyle w:val="PageNumber"/>
      </w:rPr>
    </w:sdtEndPr>
    <w:sdtContent>
      <w:p w14:paraId="258809D1" w14:textId="77777777" w:rsidR="00A2727B" w:rsidRPr="005043B2" w:rsidRDefault="00A2727B" w:rsidP="00E13525">
        <w:pPr>
          <w:pStyle w:val="Footer"/>
          <w:framePr w:wrap="none" w:vAnchor="text" w:hAnchor="margin" w:xAlign="right" w:y="1"/>
          <w:rPr>
            <w:rStyle w:val="PageNumber"/>
            <w:rFonts w:ascii="Source Sans Pro" w:hAnsi="Source Sans Pro" w:cs="Open Sans"/>
            <w:color w:val="373334"/>
            <w:sz w:val="22"/>
            <w:szCs w:val="22"/>
          </w:rPr>
        </w:pPr>
        <w:r w:rsidRPr="005043B2">
          <w:rPr>
            <w:rStyle w:val="PageNumber"/>
            <w:rFonts w:ascii="Source Sans Pro" w:hAnsi="Source Sans Pro" w:cs="Open Sans"/>
            <w:color w:val="373334"/>
            <w:sz w:val="22"/>
            <w:szCs w:val="22"/>
          </w:rPr>
          <w:fldChar w:fldCharType="begin"/>
        </w:r>
        <w:r w:rsidRPr="005043B2">
          <w:rPr>
            <w:rStyle w:val="PageNumber"/>
            <w:rFonts w:ascii="Source Sans Pro" w:hAnsi="Source Sans Pro" w:cs="Open Sans"/>
            <w:color w:val="373334"/>
            <w:sz w:val="22"/>
            <w:szCs w:val="22"/>
          </w:rPr>
          <w:instrText xml:space="preserve"> PAGE </w:instrText>
        </w:r>
        <w:r w:rsidRPr="005043B2">
          <w:rPr>
            <w:rStyle w:val="PageNumber"/>
            <w:rFonts w:ascii="Source Sans Pro" w:hAnsi="Source Sans Pro" w:cs="Open Sans"/>
            <w:color w:val="373334"/>
            <w:sz w:val="22"/>
            <w:szCs w:val="22"/>
          </w:rPr>
          <w:fldChar w:fldCharType="separate"/>
        </w:r>
        <w:r w:rsidRPr="005043B2">
          <w:rPr>
            <w:rStyle w:val="PageNumber"/>
            <w:rFonts w:ascii="Source Sans Pro" w:hAnsi="Source Sans Pro" w:cs="Open Sans"/>
            <w:noProof/>
            <w:color w:val="373334"/>
            <w:sz w:val="22"/>
            <w:szCs w:val="22"/>
          </w:rPr>
          <w:t>1</w:t>
        </w:r>
        <w:r w:rsidRPr="005043B2">
          <w:rPr>
            <w:rStyle w:val="PageNumber"/>
            <w:rFonts w:ascii="Source Sans Pro" w:hAnsi="Source Sans Pro" w:cs="Open Sans"/>
            <w:color w:val="373334"/>
            <w:sz w:val="22"/>
            <w:szCs w:val="22"/>
          </w:rPr>
          <w:fldChar w:fldCharType="end"/>
        </w:r>
      </w:p>
    </w:sdtContent>
  </w:sdt>
  <w:p w14:paraId="6EED63CD" w14:textId="43F699F9" w:rsidR="00A2727B" w:rsidRPr="00795F37" w:rsidRDefault="00E024BD" w:rsidP="00775B7C">
    <w:pPr>
      <w:pStyle w:val="Footer"/>
      <w:ind w:right="360"/>
      <w:rPr>
        <w:rFonts w:ascii="Open Sans" w:hAnsi="Open Sans" w:cs="Open Sans"/>
        <w:color w:val="373334"/>
        <w:sz w:val="22"/>
        <w:szCs w:val="22"/>
      </w:rPr>
    </w:pPr>
    <w:r w:rsidRPr="00795F37">
      <w:rPr>
        <w:rFonts w:ascii="Rockwell" w:hAnsi="Rockwell"/>
        <w:noProof/>
        <w:color w:val="373334"/>
      </w:rPr>
      <w:drawing>
        <wp:anchor distT="0" distB="0" distL="114300" distR="114300" simplePos="0" relativeHeight="251655680" behindDoc="0" locked="0" layoutInCell="1" allowOverlap="1" wp14:anchorId="7E5FCC89" wp14:editId="3C369968">
          <wp:simplePos x="0" y="0"/>
          <wp:positionH relativeFrom="margin">
            <wp:posOffset>0</wp:posOffset>
          </wp:positionH>
          <wp:positionV relativeFrom="paragraph">
            <wp:posOffset>0</wp:posOffset>
          </wp:positionV>
          <wp:extent cx="200660" cy="212090"/>
          <wp:effectExtent l="0" t="0" r="889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60" cy="212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DB05" w14:textId="77777777" w:rsidR="00511298" w:rsidRDefault="00511298" w:rsidP="0097220D">
      <w:r>
        <w:separator/>
      </w:r>
    </w:p>
  </w:footnote>
  <w:footnote w:type="continuationSeparator" w:id="0">
    <w:p w14:paraId="3033CF6E" w14:textId="77777777" w:rsidR="00511298" w:rsidRDefault="00511298" w:rsidP="0097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4A19" w14:textId="77777777" w:rsidR="0097220D" w:rsidRDefault="0097220D" w:rsidP="009722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5579"/>
    <w:multiLevelType w:val="hybridMultilevel"/>
    <w:tmpl w:val="9DB468A8"/>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94920"/>
    <w:multiLevelType w:val="hybridMultilevel"/>
    <w:tmpl w:val="D7F8C35E"/>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631B7"/>
    <w:multiLevelType w:val="hybridMultilevel"/>
    <w:tmpl w:val="E0AA8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64094"/>
    <w:multiLevelType w:val="hybridMultilevel"/>
    <w:tmpl w:val="3DB0F5C8"/>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15B7B"/>
    <w:multiLevelType w:val="hybridMultilevel"/>
    <w:tmpl w:val="157CA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E505AC"/>
    <w:multiLevelType w:val="hybridMultilevel"/>
    <w:tmpl w:val="9B4C18CE"/>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76EBB"/>
    <w:multiLevelType w:val="hybridMultilevel"/>
    <w:tmpl w:val="7FBE3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DC3385"/>
    <w:multiLevelType w:val="hybridMultilevel"/>
    <w:tmpl w:val="432431D0"/>
    <w:lvl w:ilvl="0" w:tplc="FC98DEAC">
      <w:start w:val="1"/>
      <w:numFmt w:val="bullet"/>
      <w:lvlText w:val=""/>
      <w:lvlJc w:val="left"/>
      <w:pPr>
        <w:ind w:left="720" w:hanging="360"/>
      </w:pPr>
      <w:rPr>
        <w:rFonts w:ascii="Symbol" w:hAnsi="Symbol" w:hint="default"/>
        <w:color w:val="FBC2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50A00"/>
    <w:multiLevelType w:val="hybridMultilevel"/>
    <w:tmpl w:val="802E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A611B"/>
    <w:multiLevelType w:val="hybridMultilevel"/>
    <w:tmpl w:val="24BA3F14"/>
    <w:lvl w:ilvl="0" w:tplc="FC98DEAC">
      <w:start w:val="1"/>
      <w:numFmt w:val="bullet"/>
      <w:lvlText w:val=""/>
      <w:lvlJc w:val="left"/>
      <w:pPr>
        <w:ind w:left="720" w:hanging="360"/>
      </w:pPr>
      <w:rPr>
        <w:rFonts w:ascii="Symbol" w:hAnsi="Symbol" w:hint="default"/>
        <w:color w:val="FBC2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84D90"/>
    <w:multiLevelType w:val="hybridMultilevel"/>
    <w:tmpl w:val="C7CA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046F3"/>
    <w:multiLevelType w:val="hybridMultilevel"/>
    <w:tmpl w:val="5218C994"/>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B087D"/>
    <w:multiLevelType w:val="hybridMultilevel"/>
    <w:tmpl w:val="B12E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E7F7F"/>
    <w:multiLevelType w:val="hybridMultilevel"/>
    <w:tmpl w:val="A61896E4"/>
    <w:lvl w:ilvl="0" w:tplc="FC98DEAC">
      <w:start w:val="1"/>
      <w:numFmt w:val="bullet"/>
      <w:lvlText w:val=""/>
      <w:lvlJc w:val="left"/>
      <w:pPr>
        <w:ind w:left="720" w:hanging="360"/>
      </w:pPr>
      <w:rPr>
        <w:rFonts w:ascii="Symbol" w:hAnsi="Symbol" w:hint="default"/>
        <w:color w:val="FBC2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E579B"/>
    <w:multiLevelType w:val="hybridMultilevel"/>
    <w:tmpl w:val="4B5C83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514DF2"/>
    <w:multiLevelType w:val="hybridMultilevel"/>
    <w:tmpl w:val="2932B3C2"/>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E21BC"/>
    <w:multiLevelType w:val="hybridMultilevel"/>
    <w:tmpl w:val="AE1013D4"/>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B1825"/>
    <w:multiLevelType w:val="hybridMultilevel"/>
    <w:tmpl w:val="B8983964"/>
    <w:lvl w:ilvl="0" w:tplc="FC98DEAC">
      <w:start w:val="1"/>
      <w:numFmt w:val="bullet"/>
      <w:lvlText w:val=""/>
      <w:lvlJc w:val="left"/>
      <w:pPr>
        <w:ind w:left="720" w:hanging="360"/>
      </w:pPr>
      <w:rPr>
        <w:rFonts w:ascii="Symbol" w:hAnsi="Symbol" w:hint="default"/>
        <w:color w:val="FBC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94999">
    <w:abstractNumId w:val="2"/>
  </w:num>
  <w:num w:numId="2" w16cid:durableId="1246721426">
    <w:abstractNumId w:val="12"/>
  </w:num>
  <w:num w:numId="3" w16cid:durableId="541988668">
    <w:abstractNumId w:val="8"/>
  </w:num>
  <w:num w:numId="4" w16cid:durableId="1792245454">
    <w:abstractNumId w:val="17"/>
  </w:num>
  <w:num w:numId="5" w16cid:durableId="495875813">
    <w:abstractNumId w:val="7"/>
  </w:num>
  <w:num w:numId="6" w16cid:durableId="483936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049805">
    <w:abstractNumId w:val="4"/>
  </w:num>
  <w:num w:numId="8" w16cid:durableId="1908221146">
    <w:abstractNumId w:val="3"/>
  </w:num>
  <w:num w:numId="9" w16cid:durableId="965160453">
    <w:abstractNumId w:val="5"/>
  </w:num>
  <w:num w:numId="10" w16cid:durableId="937760572">
    <w:abstractNumId w:val="15"/>
  </w:num>
  <w:num w:numId="11" w16cid:durableId="2140755997">
    <w:abstractNumId w:val="9"/>
  </w:num>
  <w:num w:numId="12" w16cid:durableId="301008001">
    <w:abstractNumId w:val="10"/>
  </w:num>
  <w:num w:numId="13" w16cid:durableId="1630823446">
    <w:abstractNumId w:val="11"/>
  </w:num>
  <w:num w:numId="14" w16cid:durableId="1770080294">
    <w:abstractNumId w:val="16"/>
  </w:num>
  <w:num w:numId="15" w16cid:durableId="2011056042">
    <w:abstractNumId w:val="0"/>
  </w:num>
  <w:num w:numId="16" w16cid:durableId="548689703">
    <w:abstractNumId w:val="13"/>
  </w:num>
  <w:num w:numId="17" w16cid:durableId="1848060535">
    <w:abstractNumId w:val="1"/>
  </w:num>
  <w:num w:numId="18" w16cid:durableId="1994985304">
    <w:abstractNumId w:val="6"/>
  </w:num>
  <w:num w:numId="19" w16cid:durableId="1948342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D"/>
    <w:rsid w:val="0001134A"/>
    <w:rsid w:val="00022C91"/>
    <w:rsid w:val="00030637"/>
    <w:rsid w:val="000439D4"/>
    <w:rsid w:val="00093908"/>
    <w:rsid w:val="000A6474"/>
    <w:rsid w:val="000A72FB"/>
    <w:rsid w:val="000B01A6"/>
    <w:rsid w:val="000B75FE"/>
    <w:rsid w:val="000D4D53"/>
    <w:rsid w:val="000D56CD"/>
    <w:rsid w:val="000E1837"/>
    <w:rsid w:val="001027F5"/>
    <w:rsid w:val="00122B46"/>
    <w:rsid w:val="00143AB1"/>
    <w:rsid w:val="00153079"/>
    <w:rsid w:val="00166AD2"/>
    <w:rsid w:val="001808AD"/>
    <w:rsid w:val="001C7740"/>
    <w:rsid w:val="001C7AA5"/>
    <w:rsid w:val="001D7533"/>
    <w:rsid w:val="001E09A2"/>
    <w:rsid w:val="0020331C"/>
    <w:rsid w:val="0021361B"/>
    <w:rsid w:val="002160D5"/>
    <w:rsid w:val="002211B9"/>
    <w:rsid w:val="00243179"/>
    <w:rsid w:val="0024479B"/>
    <w:rsid w:val="0025233E"/>
    <w:rsid w:val="00263F39"/>
    <w:rsid w:val="002A75DE"/>
    <w:rsid w:val="002B12EC"/>
    <w:rsid w:val="002B420A"/>
    <w:rsid w:val="002B76B4"/>
    <w:rsid w:val="002D0F44"/>
    <w:rsid w:val="002E10D8"/>
    <w:rsid w:val="002F44CF"/>
    <w:rsid w:val="00333CBB"/>
    <w:rsid w:val="003342B6"/>
    <w:rsid w:val="003409E4"/>
    <w:rsid w:val="003415DF"/>
    <w:rsid w:val="0035188B"/>
    <w:rsid w:val="00356909"/>
    <w:rsid w:val="003706F4"/>
    <w:rsid w:val="00370D05"/>
    <w:rsid w:val="0037592E"/>
    <w:rsid w:val="00376CE5"/>
    <w:rsid w:val="003819D2"/>
    <w:rsid w:val="00390D4F"/>
    <w:rsid w:val="003B4F49"/>
    <w:rsid w:val="003D3A13"/>
    <w:rsid w:val="00401686"/>
    <w:rsid w:val="004076AF"/>
    <w:rsid w:val="00420422"/>
    <w:rsid w:val="00421D5A"/>
    <w:rsid w:val="00433694"/>
    <w:rsid w:val="004554E6"/>
    <w:rsid w:val="004648A0"/>
    <w:rsid w:val="00470996"/>
    <w:rsid w:val="004A084F"/>
    <w:rsid w:val="004A615D"/>
    <w:rsid w:val="004A709D"/>
    <w:rsid w:val="00503183"/>
    <w:rsid w:val="005043B2"/>
    <w:rsid w:val="005069CB"/>
    <w:rsid w:val="00511298"/>
    <w:rsid w:val="0051613C"/>
    <w:rsid w:val="00546E35"/>
    <w:rsid w:val="005776EB"/>
    <w:rsid w:val="005909D3"/>
    <w:rsid w:val="005B2808"/>
    <w:rsid w:val="005C74FB"/>
    <w:rsid w:val="005D48C6"/>
    <w:rsid w:val="005F31B2"/>
    <w:rsid w:val="0060730C"/>
    <w:rsid w:val="0065254C"/>
    <w:rsid w:val="0067454C"/>
    <w:rsid w:val="006860CC"/>
    <w:rsid w:val="0069324E"/>
    <w:rsid w:val="00694F1D"/>
    <w:rsid w:val="006B2E21"/>
    <w:rsid w:val="006D6D3F"/>
    <w:rsid w:val="007172C2"/>
    <w:rsid w:val="00730924"/>
    <w:rsid w:val="00740AC1"/>
    <w:rsid w:val="00754080"/>
    <w:rsid w:val="00767F3D"/>
    <w:rsid w:val="00773D26"/>
    <w:rsid w:val="00775B7C"/>
    <w:rsid w:val="0079316E"/>
    <w:rsid w:val="00795F37"/>
    <w:rsid w:val="007B3D0F"/>
    <w:rsid w:val="007D6EF8"/>
    <w:rsid w:val="007F09B4"/>
    <w:rsid w:val="007F631E"/>
    <w:rsid w:val="008038B1"/>
    <w:rsid w:val="00850C04"/>
    <w:rsid w:val="00862615"/>
    <w:rsid w:val="00870DC0"/>
    <w:rsid w:val="00891F1B"/>
    <w:rsid w:val="008A48F8"/>
    <w:rsid w:val="008D4F1D"/>
    <w:rsid w:val="008F0FA9"/>
    <w:rsid w:val="008F4663"/>
    <w:rsid w:val="0090010D"/>
    <w:rsid w:val="0090255D"/>
    <w:rsid w:val="009038A3"/>
    <w:rsid w:val="009107D1"/>
    <w:rsid w:val="009410D5"/>
    <w:rsid w:val="00942E15"/>
    <w:rsid w:val="0097220D"/>
    <w:rsid w:val="009762DF"/>
    <w:rsid w:val="0099466E"/>
    <w:rsid w:val="009968EE"/>
    <w:rsid w:val="009B208A"/>
    <w:rsid w:val="009B5CF3"/>
    <w:rsid w:val="00A2727B"/>
    <w:rsid w:val="00A57636"/>
    <w:rsid w:val="00A836FA"/>
    <w:rsid w:val="00A8603B"/>
    <w:rsid w:val="00AA76EB"/>
    <w:rsid w:val="00AB4EB6"/>
    <w:rsid w:val="00AC01FF"/>
    <w:rsid w:val="00AC113D"/>
    <w:rsid w:val="00AC19C9"/>
    <w:rsid w:val="00AD09FD"/>
    <w:rsid w:val="00AD17D6"/>
    <w:rsid w:val="00AE31F0"/>
    <w:rsid w:val="00AF48EA"/>
    <w:rsid w:val="00AF716F"/>
    <w:rsid w:val="00B157E4"/>
    <w:rsid w:val="00B27BEF"/>
    <w:rsid w:val="00B30A91"/>
    <w:rsid w:val="00B32550"/>
    <w:rsid w:val="00B650B3"/>
    <w:rsid w:val="00B7558C"/>
    <w:rsid w:val="00B93105"/>
    <w:rsid w:val="00B9623D"/>
    <w:rsid w:val="00BA1B99"/>
    <w:rsid w:val="00BA1C2F"/>
    <w:rsid w:val="00BB7B32"/>
    <w:rsid w:val="00BC1278"/>
    <w:rsid w:val="00BC31DC"/>
    <w:rsid w:val="00BD4182"/>
    <w:rsid w:val="00BE5B77"/>
    <w:rsid w:val="00BF6178"/>
    <w:rsid w:val="00C3401A"/>
    <w:rsid w:val="00C620E0"/>
    <w:rsid w:val="00C723F4"/>
    <w:rsid w:val="00C91506"/>
    <w:rsid w:val="00CA1DD2"/>
    <w:rsid w:val="00CC183C"/>
    <w:rsid w:val="00D163CD"/>
    <w:rsid w:val="00D337E0"/>
    <w:rsid w:val="00D33C39"/>
    <w:rsid w:val="00D45449"/>
    <w:rsid w:val="00D52F81"/>
    <w:rsid w:val="00D56FA9"/>
    <w:rsid w:val="00D610D0"/>
    <w:rsid w:val="00D64C88"/>
    <w:rsid w:val="00D6619F"/>
    <w:rsid w:val="00D83432"/>
    <w:rsid w:val="00DA76FE"/>
    <w:rsid w:val="00DC5D03"/>
    <w:rsid w:val="00DF3ED8"/>
    <w:rsid w:val="00E0154B"/>
    <w:rsid w:val="00E024BD"/>
    <w:rsid w:val="00E22F69"/>
    <w:rsid w:val="00E369A3"/>
    <w:rsid w:val="00E36BF9"/>
    <w:rsid w:val="00E37283"/>
    <w:rsid w:val="00E404E6"/>
    <w:rsid w:val="00E5315D"/>
    <w:rsid w:val="00E54131"/>
    <w:rsid w:val="00E70B8C"/>
    <w:rsid w:val="00E80ED4"/>
    <w:rsid w:val="00E8783B"/>
    <w:rsid w:val="00E913F3"/>
    <w:rsid w:val="00E979A6"/>
    <w:rsid w:val="00EA0981"/>
    <w:rsid w:val="00EA0CB4"/>
    <w:rsid w:val="00EB2C72"/>
    <w:rsid w:val="00EC79D0"/>
    <w:rsid w:val="00EE0A7F"/>
    <w:rsid w:val="00EE7530"/>
    <w:rsid w:val="00EF46B6"/>
    <w:rsid w:val="00F039D5"/>
    <w:rsid w:val="00F20074"/>
    <w:rsid w:val="00F30B04"/>
    <w:rsid w:val="00F628AD"/>
    <w:rsid w:val="00F755EE"/>
    <w:rsid w:val="00F7716A"/>
    <w:rsid w:val="00F96EF3"/>
    <w:rsid w:val="00FA4557"/>
    <w:rsid w:val="00FA69EA"/>
    <w:rsid w:val="00FD10AB"/>
    <w:rsid w:val="00FE6398"/>
    <w:rsid w:val="00FE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19C6"/>
  <w14:defaultImageDpi w14:val="32767"/>
  <w15:chartTrackingRefBased/>
  <w15:docId w15:val="{4257B550-B279-8B4F-84C8-CF514761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13D"/>
    <w:pPr>
      <w:spacing w:after="200" w:line="276" w:lineRule="auto"/>
      <w:ind w:left="720"/>
      <w:contextualSpacing/>
    </w:pPr>
    <w:rPr>
      <w:sz w:val="22"/>
      <w:szCs w:val="22"/>
    </w:rPr>
  </w:style>
  <w:style w:type="paragraph" w:styleId="Header">
    <w:name w:val="header"/>
    <w:basedOn w:val="Normal"/>
    <w:link w:val="HeaderChar"/>
    <w:uiPriority w:val="99"/>
    <w:unhideWhenUsed/>
    <w:rsid w:val="0097220D"/>
    <w:pPr>
      <w:tabs>
        <w:tab w:val="center" w:pos="4680"/>
        <w:tab w:val="right" w:pos="9360"/>
      </w:tabs>
    </w:pPr>
  </w:style>
  <w:style w:type="character" w:customStyle="1" w:styleId="HeaderChar">
    <w:name w:val="Header Char"/>
    <w:basedOn w:val="DefaultParagraphFont"/>
    <w:link w:val="Header"/>
    <w:uiPriority w:val="99"/>
    <w:rsid w:val="0097220D"/>
  </w:style>
  <w:style w:type="paragraph" w:styleId="Footer">
    <w:name w:val="footer"/>
    <w:basedOn w:val="Normal"/>
    <w:link w:val="FooterChar"/>
    <w:uiPriority w:val="99"/>
    <w:unhideWhenUsed/>
    <w:rsid w:val="0097220D"/>
    <w:pPr>
      <w:tabs>
        <w:tab w:val="center" w:pos="4680"/>
        <w:tab w:val="right" w:pos="9360"/>
      </w:tabs>
    </w:pPr>
  </w:style>
  <w:style w:type="character" w:customStyle="1" w:styleId="FooterChar">
    <w:name w:val="Footer Char"/>
    <w:basedOn w:val="DefaultParagraphFont"/>
    <w:link w:val="Footer"/>
    <w:uiPriority w:val="99"/>
    <w:rsid w:val="0097220D"/>
  </w:style>
  <w:style w:type="character" w:styleId="PageNumber">
    <w:name w:val="page number"/>
    <w:basedOn w:val="DefaultParagraphFont"/>
    <w:uiPriority w:val="99"/>
    <w:semiHidden/>
    <w:unhideWhenUsed/>
    <w:rsid w:val="00A2727B"/>
  </w:style>
  <w:style w:type="paragraph" w:styleId="BalloonText">
    <w:name w:val="Balloon Text"/>
    <w:basedOn w:val="Normal"/>
    <w:link w:val="BalloonTextChar"/>
    <w:uiPriority w:val="99"/>
    <w:semiHidden/>
    <w:unhideWhenUsed/>
    <w:rsid w:val="00122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B46"/>
    <w:rPr>
      <w:rFonts w:ascii="Segoe UI" w:hAnsi="Segoe UI" w:cs="Segoe UI"/>
      <w:sz w:val="18"/>
      <w:szCs w:val="18"/>
    </w:rPr>
  </w:style>
  <w:style w:type="character" w:styleId="CommentReference">
    <w:name w:val="annotation reference"/>
    <w:basedOn w:val="DefaultParagraphFont"/>
    <w:uiPriority w:val="99"/>
    <w:semiHidden/>
    <w:unhideWhenUsed/>
    <w:rsid w:val="001C7740"/>
    <w:rPr>
      <w:sz w:val="16"/>
      <w:szCs w:val="16"/>
    </w:rPr>
  </w:style>
  <w:style w:type="paragraph" w:styleId="CommentText">
    <w:name w:val="annotation text"/>
    <w:basedOn w:val="Normal"/>
    <w:link w:val="CommentTextChar"/>
    <w:uiPriority w:val="99"/>
    <w:semiHidden/>
    <w:unhideWhenUsed/>
    <w:rsid w:val="001C7740"/>
    <w:rPr>
      <w:sz w:val="20"/>
      <w:szCs w:val="20"/>
    </w:rPr>
  </w:style>
  <w:style w:type="character" w:customStyle="1" w:styleId="CommentTextChar">
    <w:name w:val="Comment Text Char"/>
    <w:basedOn w:val="DefaultParagraphFont"/>
    <w:link w:val="CommentText"/>
    <w:uiPriority w:val="99"/>
    <w:semiHidden/>
    <w:rsid w:val="001C7740"/>
    <w:rPr>
      <w:sz w:val="20"/>
      <w:szCs w:val="20"/>
    </w:rPr>
  </w:style>
  <w:style w:type="paragraph" w:styleId="CommentSubject">
    <w:name w:val="annotation subject"/>
    <w:basedOn w:val="CommentText"/>
    <w:next w:val="CommentText"/>
    <w:link w:val="CommentSubjectChar"/>
    <w:uiPriority w:val="99"/>
    <w:semiHidden/>
    <w:unhideWhenUsed/>
    <w:rsid w:val="001C7740"/>
    <w:rPr>
      <w:b/>
      <w:bCs/>
    </w:rPr>
  </w:style>
  <w:style w:type="character" w:customStyle="1" w:styleId="CommentSubjectChar">
    <w:name w:val="Comment Subject Char"/>
    <w:basedOn w:val="CommentTextChar"/>
    <w:link w:val="CommentSubject"/>
    <w:uiPriority w:val="99"/>
    <w:semiHidden/>
    <w:rsid w:val="001C7740"/>
    <w:rPr>
      <w:b/>
      <w:bCs/>
      <w:sz w:val="20"/>
      <w:szCs w:val="20"/>
    </w:rPr>
  </w:style>
  <w:style w:type="character" w:styleId="Hyperlink">
    <w:name w:val="Hyperlink"/>
    <w:basedOn w:val="DefaultParagraphFont"/>
    <w:uiPriority w:val="99"/>
    <w:semiHidden/>
    <w:unhideWhenUsed/>
    <w:rsid w:val="001C7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94766">
      <w:bodyDiv w:val="1"/>
      <w:marLeft w:val="0"/>
      <w:marRight w:val="0"/>
      <w:marTop w:val="0"/>
      <w:marBottom w:val="0"/>
      <w:divBdr>
        <w:top w:val="none" w:sz="0" w:space="0" w:color="auto"/>
        <w:left w:val="none" w:sz="0" w:space="0" w:color="auto"/>
        <w:bottom w:val="none" w:sz="0" w:space="0" w:color="auto"/>
        <w:right w:val="none" w:sz="0" w:space="0" w:color="auto"/>
      </w:divBdr>
    </w:div>
    <w:div w:id="1781291930">
      <w:bodyDiv w:val="1"/>
      <w:marLeft w:val="0"/>
      <w:marRight w:val="0"/>
      <w:marTop w:val="0"/>
      <w:marBottom w:val="0"/>
      <w:divBdr>
        <w:top w:val="none" w:sz="0" w:space="0" w:color="auto"/>
        <w:left w:val="none" w:sz="0" w:space="0" w:color="auto"/>
        <w:bottom w:val="none" w:sz="0" w:space="0" w:color="auto"/>
        <w:right w:val="none" w:sz="0" w:space="0" w:color="auto"/>
      </w:divBdr>
    </w:div>
    <w:div w:id="1830630206">
      <w:bodyDiv w:val="1"/>
      <w:marLeft w:val="0"/>
      <w:marRight w:val="0"/>
      <w:marTop w:val="0"/>
      <w:marBottom w:val="0"/>
      <w:divBdr>
        <w:top w:val="none" w:sz="0" w:space="0" w:color="auto"/>
        <w:left w:val="none" w:sz="0" w:space="0" w:color="auto"/>
        <w:bottom w:val="none" w:sz="0" w:space="0" w:color="auto"/>
        <w:right w:val="none" w:sz="0" w:space="0" w:color="auto"/>
      </w:divBdr>
    </w:div>
    <w:div w:id="21221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edeligroup.com/About-Us/Care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eatjobs@thefedeligroup.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 Insana</dc:creator>
  <cp:keywords/>
  <dc:description/>
  <cp:lastModifiedBy>Mary Kay Wagner</cp:lastModifiedBy>
  <cp:revision>2</cp:revision>
  <cp:lastPrinted>2021-02-09T19:21:00Z</cp:lastPrinted>
  <dcterms:created xsi:type="dcterms:W3CDTF">2023-05-01T20:49:00Z</dcterms:created>
  <dcterms:modified xsi:type="dcterms:W3CDTF">2023-05-01T20:49:00Z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3a1ccb-6456-4c86-acff-44d0ea700a43_Enabled">
    <vt:lpwstr>true</vt:lpwstr>
  </property>
  <property fmtid="{D5CDD505-2E9C-101B-9397-08002B2CF9AE}" pid="3" name="MSIP_Label_603a1ccb-6456-4c86-acff-44d0ea700a43_SetDate">
    <vt:lpwstr>2022-12-21T18:28:26Z</vt:lpwstr>
  </property>
  <property fmtid="{D5CDD505-2E9C-101B-9397-08002B2CF9AE}" pid="4" name="MSIP_Label_603a1ccb-6456-4c86-acff-44d0ea700a43_Method">
    <vt:lpwstr>Standard</vt:lpwstr>
  </property>
  <property fmtid="{D5CDD505-2E9C-101B-9397-08002B2CF9AE}" pid="5" name="MSIP_Label_603a1ccb-6456-4c86-acff-44d0ea700a43_Name">
    <vt:lpwstr>603a1ccb-6456-4c86-acff-44d0ea700a43</vt:lpwstr>
  </property>
  <property fmtid="{D5CDD505-2E9C-101B-9397-08002B2CF9AE}" pid="6" name="MSIP_Label_603a1ccb-6456-4c86-acff-44d0ea700a43_SiteId">
    <vt:lpwstr>0f34836b-2aa7-4768-a849-e6c1791ca65f</vt:lpwstr>
  </property>
  <property fmtid="{D5CDD505-2E9C-101B-9397-08002B2CF9AE}" pid="7" name="MSIP_Label_603a1ccb-6456-4c86-acff-44d0ea700a43_ActionId">
    <vt:lpwstr>294e1552-3bb9-4fcd-b014-b2b7fe2f102b</vt:lpwstr>
  </property>
  <property fmtid="{D5CDD505-2E9C-101B-9397-08002B2CF9AE}" pid="8" name="MSIP_Label_603a1ccb-6456-4c86-acff-44d0ea700a43_ContentBits">
    <vt:lpwstr>0</vt:lpwstr>
  </property>
</Properties>
</file>